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18" w:rsidRDefault="00CA3818">
      <w:pPr>
        <w:pStyle w:val="ConsPlusNormal"/>
        <w:jc w:val="right"/>
        <w:outlineLvl w:val="0"/>
      </w:pPr>
      <w:r>
        <w:t>Приложение N 72</w:t>
      </w:r>
    </w:p>
    <w:p w:rsidR="00CA3818" w:rsidRDefault="00CA3818">
      <w:pPr>
        <w:pStyle w:val="ConsPlusNormal"/>
        <w:jc w:val="right"/>
      </w:pPr>
      <w:r>
        <w:t>к Программе</w:t>
      </w: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Title"/>
        <w:jc w:val="center"/>
      </w:pPr>
      <w:r>
        <w:t>ПРАВИЛА</w:t>
      </w:r>
    </w:p>
    <w:p w:rsidR="00CA3818" w:rsidRDefault="00CA3818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CA3818" w:rsidRDefault="00CA3818">
      <w:pPr>
        <w:pStyle w:val="ConsPlusTitle"/>
        <w:jc w:val="center"/>
      </w:pPr>
      <w:r>
        <w:t>БЮДЖЕТА МЕСТНЫМ БЮДЖЕТАМ МУРМАНСКОЙ ОБЛАСТИ</w:t>
      </w:r>
    </w:p>
    <w:p w:rsidR="00CA3818" w:rsidRDefault="00CA3818">
      <w:pPr>
        <w:pStyle w:val="ConsPlusTitle"/>
        <w:jc w:val="center"/>
      </w:pPr>
      <w:r>
        <w:t>НА СОФИНАНСИРОВАНИЕ МЕРОПРИЯТИЙ ПО СНОСУ ОБЪЕКТОВ</w:t>
      </w:r>
    </w:p>
    <w:p w:rsidR="00CA3818" w:rsidRDefault="00CA3818">
      <w:pPr>
        <w:pStyle w:val="ConsPlusTitle"/>
        <w:jc w:val="center"/>
      </w:pPr>
      <w:r>
        <w:t>КАПИТАЛЬНОГО СТРОИТЕЛЬСТВА ЗА СЧЕТ СРЕДСТВ РЕЗЕРВНОГО ФОНДА</w:t>
      </w:r>
    </w:p>
    <w:p w:rsidR="00CA3818" w:rsidRDefault="00CA3818">
      <w:pPr>
        <w:pStyle w:val="ConsPlusTitle"/>
        <w:jc w:val="center"/>
      </w:pPr>
      <w:r>
        <w:t>ПРАВИТЕЛЬСТВА МУРМАНСКОЙ ОБЛАСТИ</w:t>
      </w:r>
    </w:p>
    <w:p w:rsidR="00CA3818" w:rsidRDefault="00CA381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A381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818" w:rsidRDefault="00CA381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818" w:rsidRDefault="00CA381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A3818" w:rsidRDefault="00CA38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A3818" w:rsidRDefault="00CA381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CA3818" w:rsidRDefault="00CA3818">
            <w:pPr>
              <w:pStyle w:val="ConsPlusNormal"/>
              <w:jc w:val="center"/>
            </w:pPr>
            <w:r>
              <w:rPr>
                <w:color w:val="392C69"/>
              </w:rPr>
              <w:t>от 23.03.2023 N 220-ПП)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A3818" w:rsidRDefault="00CA3818">
            <w:pPr>
              <w:pStyle w:val="ConsPlusNormal"/>
            </w:pPr>
          </w:p>
        </w:tc>
      </w:tr>
    </w:tbl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  <w:ind w:firstLine="540"/>
        <w:jc w:val="both"/>
      </w:pPr>
      <w:r>
        <w:t>1. Настоящие Правила определяют порядок, цели и условия предоставления и распределения субсидии из областного бюджета местным бюджетам Мурманской области на софинансирование мероприятий по сносу объектов капитального строительства (далее - Правила, субсидия, мероприятие).</w:t>
      </w:r>
    </w:p>
    <w:p w:rsidR="00CA3818" w:rsidRDefault="00CA3818">
      <w:pPr>
        <w:pStyle w:val="ConsPlusNormal"/>
        <w:spacing w:before="220"/>
        <w:ind w:firstLine="540"/>
        <w:jc w:val="both"/>
      </w:pPr>
      <w:bookmarkStart w:id="0" w:name="P14"/>
      <w:bookmarkEnd w:id="0"/>
      <w:r>
        <w:t>2. Субсидия предоставляется Министерством строительства Мурманской области (далее - Министерство)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сносу объектов капитального строительства.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3. Субсидия предоставляется за счет средств областного бюджета, выделяемых из резервного фонда Правительства Мурманской области.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4. Критерием отбора муниципальных образований для предоставления субсидии является наличие на территории муниципального образования объектов капитального строительства, подлежащих сносу.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5. Субсидия предоставляется бюджету муниципального образования при соблюдении следующих условий:</w:t>
      </w:r>
    </w:p>
    <w:p w:rsidR="00CA3818" w:rsidRDefault="00CA3818">
      <w:pPr>
        <w:pStyle w:val="ConsPlusNormal"/>
        <w:spacing w:before="220"/>
        <w:ind w:firstLine="540"/>
        <w:jc w:val="both"/>
      </w:pPr>
      <w:bookmarkStart w:id="1" w:name="P18"/>
      <w:bookmarkEnd w:id="1"/>
      <w:r>
        <w:t>а) при наличии нормативного правового акта (или проекта такого акта), утверждающего муниципальную программу, содержащую в соответствующем году мероприятия, в целях софинансирования которых предоставляется субсидия;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б) при наличии заключенного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 (далее - Соглашение), и ответственность за невыполнение предусмотренных указанным Соглашением обязательств.</w:t>
      </w:r>
    </w:p>
    <w:p w:rsidR="00CA3818" w:rsidRDefault="00CA3818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и</w:t>
      </w:r>
      <w:proofErr w:type="gramEnd"/>
      <w:r>
        <w:t xml:space="preserve">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CA3818" w:rsidRDefault="00CA3818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Закупки товаров, работ, услуг за счет средств субсидий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8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6. Размер Субсидии, предоставляемой бюджетам муниципальных образований,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4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7. Соглашение между Министерством и органом местного самоуправления муниципального образования о предоставлении субсидии из областного бюджета местному бюджету заключается в программном комплексе "Реестр соглашений" электронной системы "Web-Бюджет" в соответствии с типовой формой, утвержденной Министерством финансов Мурманской области (далее - Соглашение, программный комплекс).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8. При заключении Соглашения уполномоченными органами местного самоуправления муниципального образования в соответствующем разделе программного комплекса прикрепляются документы, подтверждающие исполнение условий предоставления субсидии, предусмотренные </w:t>
      </w:r>
      <w:hyperlink w:anchor="P18">
        <w:r>
          <w:rPr>
            <w:color w:val="0000FF"/>
          </w:rPr>
          <w:t>подпунктом "а" пункта 5</w:t>
        </w:r>
      </w:hyperlink>
      <w:r>
        <w:t xml:space="preserve"> настоящих Правил.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9. Соглашение должно содержать положения, установленные </w:t>
      </w:r>
      <w:hyperlink r:id="rId9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субсидии из областного бюджета местным бюджетам Мурманской области, утвержденных постановлением Правительства Мурманской области от 05.09.2011 N 445-ПП (далее - Правила N 445-ПП).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Заключение Соглашений о предоставлении трансферта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В случае внесения изменений в постановление Правительства Мурманской области о выделении средств резервного фонда Правительства Мурманской области муниципальному образованию на софинансирование мероприятий по сносу объектов капитального строительства,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10. Представление отчетности в Министерство осуществляется муниципальным образованием, в том числе посредством программного комплекса по форме и в сроки, установленные Соглашением.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Министерством может устанавливаться дополнительный перечень необходимых документов и формы отчетности.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11.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</w:t>
      </w:r>
      <w:r>
        <w:lastRenderedPageBreak/>
        <w:t xml:space="preserve">областного бюджета, определенный в соответствии с </w:t>
      </w:r>
      <w:hyperlink r:id="rId10">
        <w:r>
          <w:rPr>
            <w:color w:val="0000FF"/>
          </w:rPr>
          <w:t>Порядком</w:t>
        </w:r>
      </w:hyperlink>
      <w:r>
        <w:t xml:space="preserve"> определения и установления предельного уровня софинансирования из областного бюджета расходного обязательства муниципального образования, утвержденным постановлением Правительства Мурманской области от 05.09.2011 N 445-ПП.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12.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Увеличение размера средств местных бюджетов, направляемых на реализацию мероприятий, в целях софинансирования которых предоставляется субсидия, не влечет обязательства областного бюджета по увеличению размера предоставляемой субсидии.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CA3818" w:rsidRDefault="00CA3818">
      <w:pPr>
        <w:pStyle w:val="ConsPlusNormal"/>
        <w:spacing w:before="220"/>
        <w:ind w:firstLine="540"/>
        <w:jc w:val="both"/>
      </w:pPr>
      <w:r>
        <w:t>14. Субсидия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15. Показателем результативности использования субсидии является достижение установленных Соглашением показателей, а именно количество снесенных объектов.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значения показателя, установленного Соглашением, и фактически достигнутого показателя, на основании отчетных данных, представленных муниципальным образованием по итогам реализации мероприятия, по форме и срокам, установленным Соглашением.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16. Неиспользованные денежные средства, выделенные из резервного фонда, подлежат возврату на единый счет областного бюджета одновременно с представлением отчета о целевом использовании выделенных средств.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CA3818" w:rsidRDefault="00CA3818">
      <w:pPr>
        <w:pStyle w:val="ConsPlusNormal"/>
        <w:spacing w:before="220"/>
        <w:ind w:firstLine="540"/>
        <w:jc w:val="both"/>
      </w:pPr>
      <w:bookmarkStart w:id="2" w:name="P40"/>
      <w:bookmarkEnd w:id="2"/>
      <w:r>
        <w:t xml:space="preserve">17. В случае если в отчетном финансовом году муниципальным образованием допущены нарушения обязательств по достижению значений установленного показателя, то объем средств, подлежащий возврату в областной бюджет в срок до 1 июня года, следующего за годом </w:t>
      </w:r>
      <w:r>
        <w:lastRenderedPageBreak/>
        <w:t xml:space="preserve">предоставления субсидии, определяется в соответствии с </w:t>
      </w:r>
      <w:hyperlink r:id="rId11">
        <w:r>
          <w:rPr>
            <w:color w:val="0000FF"/>
          </w:rPr>
          <w:t>пунктом 12</w:t>
        </w:r>
      </w:hyperlink>
      <w:r>
        <w:t xml:space="preserve"> Правил N 445-ПП.</w:t>
      </w:r>
    </w:p>
    <w:p w:rsidR="00CA3818" w:rsidRDefault="00CA3818">
      <w:pPr>
        <w:pStyle w:val="ConsPlusNormal"/>
        <w:spacing w:before="220"/>
        <w:ind w:firstLine="540"/>
        <w:jc w:val="both"/>
      </w:pPr>
      <w:bookmarkStart w:id="3" w:name="P41"/>
      <w:bookmarkEnd w:id="3"/>
      <w:r>
        <w:t xml:space="preserve">18.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2">
        <w:r>
          <w:rPr>
            <w:color w:val="0000FF"/>
          </w:rPr>
          <w:t>подпунктом 4 пункта 7</w:t>
        </w:r>
      </w:hyperlink>
      <w:r>
        <w:t xml:space="preserve"> Правил N 445-ПП,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13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CA3818" w:rsidRDefault="00CA3818">
      <w:pPr>
        <w:pStyle w:val="ConsPlusNormal"/>
        <w:spacing w:before="220"/>
        <w:ind w:firstLine="540"/>
        <w:jc w:val="both"/>
      </w:pPr>
      <w:bookmarkStart w:id="4" w:name="P42"/>
      <w:bookmarkEnd w:id="4"/>
      <w:r>
        <w:t xml:space="preserve">19. Основанием для освобождения муниципальных образований от применения мер ответственности, предусмотренных </w:t>
      </w:r>
      <w:hyperlink w:anchor="P40">
        <w:r>
          <w:rPr>
            <w:color w:val="0000FF"/>
          </w:rPr>
          <w:t>пунктами 17</w:t>
        </w:r>
      </w:hyperlink>
      <w:r>
        <w:t xml:space="preserve">, </w:t>
      </w:r>
      <w:hyperlink w:anchor="P41">
        <w:r>
          <w:rPr>
            <w:color w:val="0000FF"/>
          </w:rPr>
          <w:t>18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</w:t>
      </w:r>
      <w:hyperlink r:id="rId14">
        <w:r>
          <w:rPr>
            <w:color w:val="0000FF"/>
          </w:rPr>
          <w:t>пунктом 14</w:t>
        </w:r>
      </w:hyperlink>
      <w:r>
        <w:t xml:space="preserve"> Правил N 445-ПП.</w:t>
      </w:r>
    </w:p>
    <w:p w:rsidR="00CA3818" w:rsidRDefault="00CA3818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41">
        <w:r>
          <w:rPr>
            <w:color w:val="0000FF"/>
          </w:rPr>
          <w:t>пунктами 18</w:t>
        </w:r>
      </w:hyperlink>
      <w:r>
        <w:t xml:space="preserve">, </w:t>
      </w:r>
      <w:hyperlink w:anchor="P42">
        <w:r>
          <w:rPr>
            <w:color w:val="0000FF"/>
          </w:rPr>
          <w:t>19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</w:t>
      </w:r>
      <w:proofErr w:type="gramEnd"/>
      <w:r>
        <w:t xml:space="preserve"> объема средств, рассчитанного в соответствии с </w:t>
      </w:r>
      <w:hyperlink r:id="rId15">
        <w:r>
          <w:rPr>
            <w:color w:val="0000FF"/>
          </w:rPr>
          <w:t>пунктом 12</w:t>
        </w:r>
      </w:hyperlink>
      <w:r>
        <w:t xml:space="preserve"> Правил N 445-ПП, с указанием сумм, подлежащих возврату, средств и сроков их возврата в соответствии с Правилами N 445-ПП.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20. Средства субсидии носят целевой характер и не могут быть использованы на другие цели.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21.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>22. Муниципальное образование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CA3818" w:rsidRDefault="00CA3818">
      <w:pPr>
        <w:pStyle w:val="ConsPlusNormal"/>
        <w:spacing w:before="220"/>
        <w:ind w:firstLine="540"/>
        <w:jc w:val="both"/>
      </w:pPr>
      <w:r>
        <w:t xml:space="preserve">23.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</w:t>
      </w: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  <w:jc w:val="both"/>
      </w:pPr>
    </w:p>
    <w:p w:rsidR="00CA3818" w:rsidRDefault="00CA3818">
      <w:pPr>
        <w:pStyle w:val="ConsPlusNormal"/>
      </w:pPr>
      <w:hyperlink r:id="rId16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6547B7" w:rsidRDefault="006547B7">
      <w:bookmarkStart w:id="5" w:name="_GoBack"/>
      <w:bookmarkEnd w:id="5"/>
    </w:p>
    <w:sectPr w:rsidR="006547B7" w:rsidSect="008F5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18"/>
    <w:rsid w:val="006547B7"/>
    <w:rsid w:val="00CA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8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38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8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38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9FE5ED050AF42ADDF8E1112FC4284E640BC3BB1E3C484940DC2FBC7F6771E7CB594DDA73D11A8C919CA895EC0CvDL" TargetMode="External"/><Relationship Id="rId13" Type="http://schemas.openxmlformats.org/officeDocument/2006/relationships/hyperlink" Target="consultantplus://offline/ref=0E9FE5ED050AF42ADDF8FF1C39A8764B67059EB51F36471D1E8029EB203777B2991913833195098D9982A99DEBC53CE74FD9C15549F2648F9316CDE802v4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9FE5ED050AF42ADDF8E1112FC4284E640BC3B11833484940DC2FBC7F6771E7CB594DDA73D11A8C919CA895EC0CvDL" TargetMode="External"/><Relationship Id="rId12" Type="http://schemas.openxmlformats.org/officeDocument/2006/relationships/hyperlink" Target="consultantplus://offline/ref=0E9FE5ED050AF42ADDF8FF1C39A8764B67059EB51F36471D1E8029EB203777B2991913833195098D9982A990EDC53CE74FD9C15549F2648F9316CDE802v4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E9FE5ED050AF42ADDF8FF1C39A8764B67059EB51F36461D1C8029EB203777B2991913833195098D9A87AD91E9C53CE74FD9C15549F2648F9316CDE802v4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E9FE5ED050AF42ADDF8E1112FC4284E640BC4B81E34484940DC2FBC7F6771E7D95915D57AD40FD8C8C6FF98EFCE76B60392CE544B0EvFL" TargetMode="External"/><Relationship Id="rId11" Type="http://schemas.openxmlformats.org/officeDocument/2006/relationships/hyperlink" Target="consultantplus://offline/ref=0E9FE5ED050AF42ADDF8FF1C39A8764B67059EB51F36471D1E8029EB203777B2991913833195098D9982A995EBC53CE74FD9C15549F2648F9316CDE802v4L" TargetMode="External"/><Relationship Id="rId5" Type="http://schemas.openxmlformats.org/officeDocument/2006/relationships/hyperlink" Target="consultantplus://offline/ref=0E9FE5ED050AF42ADDF8FF1C39A8764B67059EB51F36411A1E8D29EB203777B2991913833195098D9982AA95EBC53CE74FD9C15549F2648F9316CDE802v4L" TargetMode="External"/><Relationship Id="rId15" Type="http://schemas.openxmlformats.org/officeDocument/2006/relationships/hyperlink" Target="consultantplus://offline/ref=0E9FE5ED050AF42ADDF8FF1C39A8764B67059EB51F36471D1E8029EB203777B2991913833195098D9982A995EBC53CE74FD9C15549F2648F9316CDE802v4L" TargetMode="External"/><Relationship Id="rId10" Type="http://schemas.openxmlformats.org/officeDocument/2006/relationships/hyperlink" Target="consultantplus://offline/ref=0E9FE5ED050AF42ADDF8FF1C39A8764B67059EB51F36471D1E8029EB203777B2991913833195098D9982A894E6C53CE74FD9C15549F2648F9316CDE802v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9FE5ED050AF42ADDF8FF1C39A8764B67059EB51F36471D1E8029EB203777B2991913833195098D9982A991E8C53CE74FD9C15549F2648F9316CDE802v4L" TargetMode="External"/><Relationship Id="rId14" Type="http://schemas.openxmlformats.org/officeDocument/2006/relationships/hyperlink" Target="consultantplus://offline/ref=0E9FE5ED050AF42ADDF8FF1C39A8764B67059EB51F36471D1E8029EB203777B2991913833195098D9982A992E9C53CE74FD9C15549F2648F9316CDE802v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2131</Words>
  <Characters>12147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2023-08-10T11:47:00Z</dcterms:created>
  <dcterms:modified xsi:type="dcterms:W3CDTF">2023-08-10T11:48:00Z</dcterms:modified>
</cp:coreProperties>
</file>